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декабря 2022 года, накануне Международного дня инвалидов, стартует Общероссийская акция Тотальный тест «Доступная среда» (далее – Акция), призванная привлечь внимание граждан России к правам и потребностям людей с инвалидностью. В течение Декады инвалидов во всех регионах России будет проходить проверка знаний по вопросам инклюзивного общения и организации доступной среды, а также будут организованы просветительские мероприятия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и акции, направленные на улучшение качества жизни людей с инвалидностью.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участия в мероприятии необходимо зарегистрироваться по адресу: www.total-test.ru.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Спикерами Тотального теста «Доступная среда» выступят известные государственные деятели, лидеры общественного мнения, представители культуры и искусства (Татьяна Голикова, Мария Львова-Белова, Никита Козловский, Диана Гурцкая и др.). Организаторы акции – Народный фронт, Академия доступной среды и Ассоциация «АУРА-Тех».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Самостоятельное тестирование можно будет пройти со 2 по 10 декабря 2022 года в любое удобное время на сайте акции: www.total-test.ru.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 включает в себя вопросы по нескольким тематическим блокам, таким как: создание доступной среды, этика общения с людьми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с инвалидностью, правила оказания ситуационной помощи.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Тотального теста «Доступная среда» будет сформирован рейтинг по уровню вовлеченности субъектов Российской Федерации </w:t>
      </w:r>
      <w:r>
        <w:rPr>
          <w:bCs/>
          <w:sz w:val="28"/>
          <w:szCs w:val="28"/>
        </w:rPr>
        <w:br w:type="textWrapping"/>
      </w:r>
      <w:r>
        <w:rPr>
          <w:bCs/>
          <w:sz w:val="28"/>
          <w:szCs w:val="28"/>
        </w:rPr>
        <w:t>в мероприятия по созданию условий доступности социальной инфраструктуры для людей с инвалидностью и знаний по вопросам инклюзии и организации доступной среды.</w:t>
      </w:r>
    </w:p>
    <w:p>
      <w:pPr>
        <w:spacing w:line="34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более подробной информацией об Акции можно ознакомиться на сайте https://total-test.ru/#schedule.</w:t>
      </w:r>
    </w:p>
    <w:p>
      <w:bookmarkStart w:id="0" w:name="_GoBack"/>
      <w:bookmarkEnd w:id="0"/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3DD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32B503F"/>
    <w:rsid w:val="633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2022-11-29T06:40:00Z</dcterms:created>
  <dc:creator>Пользователь</dc:creator>
  <cp:lastModifiedBy>Пользователь</cp:lastModifiedBy>
  <dcterms:modified xsi:type="dcterms:W3CDTF">2022-11-29T06:40:29Z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CA9FB9B8A8534F91B11F201694CA2FE8</vt:lpwstr>
  </property>
</Properties>
</file>